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FF" w:rsidRPr="00DF695E" w:rsidRDefault="00FE5DFF" w:rsidP="00FE5DFF">
      <w:pPr>
        <w:shd w:val="clear" w:color="auto" w:fill="FFFFFF"/>
        <w:spacing w:after="0" w:line="240" w:lineRule="auto"/>
        <w:jc w:val="center"/>
        <w:rPr>
          <w:rFonts w:ascii="Myriad Pro Light" w:eastAsia="Times New Roman" w:hAnsi="Myriad Pro Light" w:cs="Arial"/>
          <w:b/>
          <w:bCs/>
          <w:sz w:val="36"/>
          <w:szCs w:val="36"/>
        </w:rPr>
      </w:pPr>
      <w:r w:rsidRPr="00DF695E">
        <w:rPr>
          <w:rFonts w:ascii="Myriad Pro Light" w:eastAsia="Times New Roman" w:hAnsi="Myriad Pro Light" w:cs="Arial"/>
          <w:b/>
          <w:bCs/>
          <w:sz w:val="36"/>
          <w:szCs w:val="36"/>
        </w:rPr>
        <w:t>POUČENÍ O POPĚRNÉM PRÁVU</w:t>
      </w:r>
      <w:r w:rsidR="00DF695E" w:rsidRPr="00DF695E">
        <w:rPr>
          <w:rFonts w:ascii="Myriad Pro Light" w:eastAsia="Times New Roman" w:hAnsi="Myriad Pro Light" w:cs="Arial"/>
          <w:b/>
          <w:bCs/>
          <w:sz w:val="36"/>
          <w:szCs w:val="36"/>
        </w:rPr>
        <w:t xml:space="preserve"> DLUŽNÍKA</w:t>
      </w:r>
    </w:p>
    <w:p w:rsidR="00E02EAE" w:rsidRPr="00DF5D87" w:rsidRDefault="00E02EAE" w:rsidP="00DF5D87">
      <w:pPr>
        <w:shd w:val="clear" w:color="auto" w:fill="FFFFFF"/>
        <w:spacing w:after="0" w:line="240" w:lineRule="auto"/>
        <w:rPr>
          <w:rFonts w:ascii="Myriad Pro Light" w:eastAsia="Times New Roman" w:hAnsi="Myriad Pro Light" w:cs="Arial"/>
          <w:b/>
          <w:bCs/>
          <w:sz w:val="24"/>
          <w:szCs w:val="24"/>
        </w:rPr>
      </w:pPr>
    </w:p>
    <w:p w:rsidR="00FE5DFF" w:rsidRPr="00DF695E" w:rsidRDefault="00FE5DFF" w:rsidP="00FE5DFF">
      <w:pPr>
        <w:shd w:val="clear" w:color="auto" w:fill="FFFFFF"/>
        <w:spacing w:after="0" w:line="240" w:lineRule="auto"/>
        <w:jc w:val="both"/>
        <w:rPr>
          <w:rFonts w:ascii="Myriad Pro Light" w:eastAsia="Times New Roman" w:hAnsi="Myriad Pro Light" w:cs="Arial"/>
          <w:bCs/>
          <w:sz w:val="24"/>
          <w:szCs w:val="24"/>
        </w:rPr>
      </w:pPr>
      <w:r w:rsidRPr="00DF695E">
        <w:rPr>
          <w:rFonts w:ascii="Myriad Pro Light" w:eastAsia="Times New Roman" w:hAnsi="Myriad Pro Light" w:cs="Arial"/>
          <w:bCs/>
          <w:sz w:val="24"/>
          <w:szCs w:val="24"/>
        </w:rPr>
        <w:t xml:space="preserve">Věřitelé uplatňují do insolvenčního řízení své pohledávky přihláškami. Tyto přihlášky jsou následně insolvenčním správcem přezkoumávány na přezkumném jednání, kterého se dlužník účastní. </w:t>
      </w:r>
    </w:p>
    <w:p w:rsidR="00FE5DFF" w:rsidRPr="00DF695E" w:rsidRDefault="00FE5DFF" w:rsidP="00FE5DFF">
      <w:pPr>
        <w:shd w:val="clear" w:color="auto" w:fill="FFFFFF"/>
        <w:spacing w:after="0" w:line="240" w:lineRule="auto"/>
        <w:jc w:val="both"/>
        <w:rPr>
          <w:rFonts w:ascii="Myriad Pro Light" w:eastAsia="Times New Roman" w:hAnsi="Myriad Pro Light" w:cs="Arial"/>
          <w:bCs/>
          <w:sz w:val="24"/>
          <w:szCs w:val="24"/>
        </w:rPr>
      </w:pPr>
    </w:p>
    <w:p w:rsidR="00FE5DFF" w:rsidRPr="00DF695E" w:rsidRDefault="00FE5DFF" w:rsidP="00FE5DFF">
      <w:pPr>
        <w:shd w:val="clear" w:color="auto" w:fill="FFFFFF"/>
        <w:spacing w:after="0" w:line="240" w:lineRule="auto"/>
        <w:jc w:val="both"/>
        <w:rPr>
          <w:rFonts w:ascii="Myriad Pro Light" w:eastAsia="Times New Roman" w:hAnsi="Myriad Pro Light" w:cs="Arial"/>
          <w:b/>
          <w:bCs/>
          <w:sz w:val="24"/>
          <w:szCs w:val="24"/>
        </w:rPr>
      </w:pPr>
      <w:r w:rsidRPr="00DF695E">
        <w:rPr>
          <w:rFonts w:ascii="Myriad Pro Light" w:eastAsia="Times New Roman" w:hAnsi="Myriad Pro Light" w:cs="Arial"/>
          <w:b/>
          <w:bCs/>
          <w:sz w:val="24"/>
          <w:szCs w:val="24"/>
        </w:rPr>
        <w:t>Dlužník je povinen sdělit</w:t>
      </w:r>
      <w:r w:rsidR="007236C1" w:rsidRPr="00DF695E">
        <w:rPr>
          <w:rFonts w:ascii="Myriad Pro Light" w:eastAsia="Times New Roman" w:hAnsi="Myriad Pro Light" w:cs="Arial"/>
          <w:b/>
          <w:bCs/>
          <w:sz w:val="24"/>
          <w:szCs w:val="24"/>
        </w:rPr>
        <w:t xml:space="preserve"> insolvenčnímu správci</w:t>
      </w:r>
      <w:r w:rsidRPr="00DF695E">
        <w:rPr>
          <w:rFonts w:ascii="Myriad Pro Light" w:eastAsia="Times New Roman" w:hAnsi="Myriad Pro Light" w:cs="Arial"/>
          <w:b/>
          <w:bCs/>
          <w:sz w:val="24"/>
          <w:szCs w:val="24"/>
        </w:rPr>
        <w:t xml:space="preserve"> k jednotlivým přihláškám pohledávek své stanovisko a uvést, zda tyto pohledávky uznává anebo popírá. </w:t>
      </w:r>
    </w:p>
    <w:p w:rsidR="00E02EAE" w:rsidRPr="00DF695E" w:rsidRDefault="00E02EAE" w:rsidP="00DF695E">
      <w:pPr>
        <w:shd w:val="clear" w:color="auto" w:fill="FFFFFF"/>
        <w:spacing w:after="0" w:line="240" w:lineRule="auto"/>
        <w:rPr>
          <w:rFonts w:ascii="Myriad Pro Light" w:eastAsia="Times New Roman" w:hAnsi="Myriad Pro Light" w:cs="Arial"/>
          <w:b/>
          <w:bCs/>
          <w:sz w:val="24"/>
          <w:szCs w:val="24"/>
        </w:rPr>
      </w:pPr>
    </w:p>
    <w:p w:rsidR="00FE5DFF" w:rsidRPr="00DF695E" w:rsidRDefault="00FE5DFF" w:rsidP="00FE5DFF">
      <w:pPr>
        <w:shd w:val="clear" w:color="auto" w:fill="FFFFFF"/>
        <w:spacing w:after="0" w:line="240" w:lineRule="auto"/>
        <w:jc w:val="both"/>
        <w:rPr>
          <w:rFonts w:ascii="Myriad Pro Light" w:eastAsia="Times New Roman" w:hAnsi="Myriad Pro Light" w:cs="Arial"/>
          <w:b/>
          <w:bCs/>
          <w:sz w:val="24"/>
          <w:szCs w:val="24"/>
        </w:rPr>
      </w:pPr>
      <w:r w:rsidRPr="00DF695E">
        <w:rPr>
          <w:rFonts w:ascii="Myriad Pro Light" w:eastAsia="Times New Roman" w:hAnsi="Myriad Pro Light" w:cs="Arial"/>
          <w:bCs/>
          <w:sz w:val="24"/>
          <w:szCs w:val="24"/>
        </w:rPr>
        <w:t>V případě, že dlužník přihlášku pohledávky popírá,</w:t>
      </w:r>
      <w:r w:rsidRPr="00DF695E">
        <w:rPr>
          <w:rFonts w:ascii="Myriad Pro Light" w:eastAsia="Times New Roman" w:hAnsi="Myriad Pro Light" w:cs="Arial"/>
          <w:b/>
          <w:bCs/>
          <w:sz w:val="24"/>
          <w:szCs w:val="24"/>
        </w:rPr>
        <w:t xml:space="preserve"> činí tzv. popěrný úkon</w:t>
      </w:r>
      <w:r w:rsidRPr="00DF695E">
        <w:rPr>
          <w:rFonts w:ascii="Myriad Pro Light" w:eastAsia="Times New Roman" w:hAnsi="Myriad Pro Light" w:cs="Arial"/>
          <w:bCs/>
          <w:sz w:val="24"/>
          <w:szCs w:val="24"/>
        </w:rPr>
        <w:t>,</w:t>
      </w:r>
      <w:r w:rsidRPr="00DF695E">
        <w:rPr>
          <w:rFonts w:ascii="Myriad Pro Light" w:eastAsia="Times New Roman" w:hAnsi="Myriad Pro Light" w:cs="Arial"/>
          <w:b/>
          <w:bCs/>
          <w:sz w:val="24"/>
          <w:szCs w:val="24"/>
        </w:rPr>
        <w:t xml:space="preserve"> </w:t>
      </w:r>
      <w:r w:rsidRPr="00DF695E">
        <w:rPr>
          <w:rFonts w:ascii="Myriad Pro Light" w:eastAsia="Times New Roman" w:hAnsi="Myriad Pro Light" w:cs="Arial"/>
          <w:bCs/>
          <w:sz w:val="24"/>
          <w:szCs w:val="24"/>
        </w:rPr>
        <w:t>který musí splňovat nálež</w:t>
      </w:r>
      <w:r w:rsidR="007236C1" w:rsidRPr="00DF695E">
        <w:rPr>
          <w:rFonts w:ascii="Myriad Pro Light" w:eastAsia="Times New Roman" w:hAnsi="Myriad Pro Light" w:cs="Arial"/>
          <w:bCs/>
          <w:sz w:val="24"/>
          <w:szCs w:val="24"/>
        </w:rPr>
        <w:t>itosti dle insolvenčního zákona, které jsou tímto textem blíže specifikovány.</w:t>
      </w:r>
      <w:r w:rsidR="007236C1" w:rsidRPr="00DF695E">
        <w:rPr>
          <w:rFonts w:ascii="Myriad Pro Light" w:eastAsia="Times New Roman" w:hAnsi="Myriad Pro Light" w:cs="Arial"/>
          <w:b/>
          <w:bCs/>
          <w:sz w:val="24"/>
          <w:szCs w:val="24"/>
        </w:rPr>
        <w:t xml:space="preserve"> </w:t>
      </w:r>
    </w:p>
    <w:p w:rsidR="00DF695E" w:rsidRPr="00DF5D87" w:rsidRDefault="00DF695E" w:rsidP="00DF5D87">
      <w:pPr>
        <w:shd w:val="clear" w:color="auto" w:fill="FFFFFF"/>
        <w:spacing w:after="0" w:line="240" w:lineRule="auto"/>
        <w:rPr>
          <w:rFonts w:ascii="Myriad Pro Light" w:eastAsia="Times New Roman" w:hAnsi="Myriad Pro Light" w:cs="Arial"/>
          <w:sz w:val="24"/>
          <w:szCs w:val="24"/>
        </w:rPr>
      </w:pPr>
    </w:p>
    <w:p w:rsidR="00FE5DFF" w:rsidRDefault="00DF695E" w:rsidP="007236C1">
      <w:pPr>
        <w:shd w:val="clear" w:color="auto" w:fill="FFFFFF"/>
        <w:spacing w:after="0" w:line="240" w:lineRule="auto"/>
        <w:jc w:val="both"/>
        <w:rPr>
          <w:rFonts w:ascii="Myriad Pro Light" w:eastAsia="Times New Roman" w:hAnsi="Myriad Pro Light" w:cs="Arial"/>
          <w:sz w:val="24"/>
          <w:szCs w:val="24"/>
        </w:rPr>
      </w:pPr>
      <w:r w:rsidRPr="00DF695E">
        <w:rPr>
          <w:rFonts w:ascii="Myriad Pro Light" w:eastAsia="Times New Roman" w:hAnsi="Myriad Pro Light" w:cs="Arial"/>
          <w:sz w:val="24"/>
          <w:szCs w:val="24"/>
        </w:rPr>
        <w:t>Dlužník může popírat p</w:t>
      </w:r>
      <w:r w:rsidR="00FE5DFF" w:rsidRPr="00DF695E">
        <w:rPr>
          <w:rFonts w:ascii="Myriad Pro Light" w:eastAsia="Times New Roman" w:hAnsi="Myriad Pro Light" w:cs="Arial"/>
          <w:sz w:val="24"/>
          <w:szCs w:val="24"/>
        </w:rPr>
        <w:t>ravost, výši a pořa</w:t>
      </w:r>
      <w:r w:rsidRPr="00DF695E">
        <w:rPr>
          <w:rFonts w:ascii="Myriad Pro Light" w:eastAsia="Times New Roman" w:hAnsi="Myriad Pro Light" w:cs="Arial"/>
          <w:sz w:val="24"/>
          <w:szCs w:val="24"/>
        </w:rPr>
        <w:t>dí všech přihlášených pohledávek, popření</w:t>
      </w:r>
      <w:r w:rsidR="00FE5DFF" w:rsidRPr="00DF695E">
        <w:rPr>
          <w:rFonts w:ascii="Myriad Pro Light" w:eastAsia="Times New Roman" w:hAnsi="Myriad Pro Light" w:cs="Arial"/>
          <w:sz w:val="24"/>
          <w:szCs w:val="24"/>
        </w:rPr>
        <w:t xml:space="preserve"> pohledávky lze vzít zpět.</w:t>
      </w:r>
    </w:p>
    <w:p w:rsidR="00DF5D87" w:rsidRPr="00DF695E" w:rsidRDefault="00DF5D87" w:rsidP="007236C1">
      <w:pPr>
        <w:shd w:val="clear" w:color="auto" w:fill="FFFFFF"/>
        <w:spacing w:after="0" w:line="240" w:lineRule="auto"/>
        <w:jc w:val="both"/>
        <w:rPr>
          <w:rFonts w:ascii="Myriad Pro Light" w:eastAsia="Times New Roman" w:hAnsi="Myriad Pro Light" w:cs="Arial"/>
          <w:sz w:val="24"/>
          <w:szCs w:val="24"/>
        </w:rPr>
      </w:pPr>
    </w:p>
    <w:p w:rsidR="00DF5D87" w:rsidRDefault="00DF695E" w:rsidP="00DF5D87">
      <w:pPr>
        <w:shd w:val="clear" w:color="auto" w:fill="FFFFFF"/>
        <w:spacing w:after="0" w:line="368" w:lineRule="atLeast"/>
        <w:jc w:val="both"/>
        <w:outlineLvl w:val="2"/>
        <w:rPr>
          <w:rFonts w:ascii="Myriad Pro Light" w:eastAsia="Times New Roman" w:hAnsi="Myriad Pro Light" w:cs="Arial"/>
          <w:b/>
          <w:bCs/>
          <w:sz w:val="24"/>
          <w:szCs w:val="24"/>
        </w:rPr>
      </w:pPr>
      <w:r w:rsidRPr="00DF5D87">
        <w:rPr>
          <w:rFonts w:ascii="Myriad Pro Light" w:eastAsia="Times New Roman" w:hAnsi="Myriad Pro Light" w:cs="Arial"/>
          <w:b/>
          <w:bCs/>
          <w:sz w:val="24"/>
          <w:szCs w:val="24"/>
        </w:rPr>
        <w:t>Popření pravosti</w:t>
      </w:r>
    </w:p>
    <w:p w:rsidR="00DF5D87" w:rsidRPr="00DF5D87" w:rsidRDefault="00DF695E" w:rsidP="00DF5D87">
      <w:pPr>
        <w:pStyle w:val="Odstavecseseznamem"/>
        <w:numPr>
          <w:ilvl w:val="0"/>
          <w:numId w:val="11"/>
        </w:numPr>
        <w:shd w:val="clear" w:color="auto" w:fill="FFFFFF"/>
        <w:spacing w:after="0" w:line="368" w:lineRule="atLeast"/>
        <w:jc w:val="both"/>
        <w:outlineLvl w:val="2"/>
        <w:rPr>
          <w:rFonts w:ascii="Myriad Pro Light" w:eastAsia="Times New Roman" w:hAnsi="Myriad Pro Light" w:cs="Arial"/>
          <w:b/>
          <w:bCs/>
          <w:sz w:val="24"/>
          <w:szCs w:val="24"/>
          <w:u w:val="single"/>
        </w:rPr>
      </w:pPr>
      <w:r w:rsidRPr="00DF5D87">
        <w:rPr>
          <w:rFonts w:ascii="Myriad Pro Light" w:eastAsia="Times New Roman" w:hAnsi="Myriad Pro Light" w:cs="Arial"/>
          <w:sz w:val="24"/>
          <w:szCs w:val="24"/>
        </w:rPr>
        <w:t xml:space="preserve">je-li namítáno, že </w:t>
      </w:r>
      <w:r w:rsidRPr="00DF5D87">
        <w:rPr>
          <w:rFonts w:ascii="Myriad Pro Light" w:eastAsia="Times New Roman" w:hAnsi="Myriad Pro Light" w:cs="Arial"/>
          <w:b/>
          <w:sz w:val="24"/>
          <w:szCs w:val="24"/>
        </w:rPr>
        <w:t>pohledávka nevznikla</w:t>
      </w:r>
      <w:r w:rsidRPr="00DF5D87">
        <w:rPr>
          <w:rFonts w:ascii="Myriad Pro Light" w:eastAsia="Times New Roman" w:hAnsi="Myriad Pro Light" w:cs="Arial"/>
          <w:sz w:val="24"/>
          <w:szCs w:val="24"/>
        </w:rPr>
        <w:t xml:space="preserve"> nebo že již zcela </w:t>
      </w:r>
      <w:r w:rsidRPr="00DF5D87">
        <w:rPr>
          <w:rFonts w:ascii="Myriad Pro Light" w:eastAsia="Times New Roman" w:hAnsi="Myriad Pro Light" w:cs="Arial"/>
          <w:b/>
          <w:sz w:val="24"/>
          <w:szCs w:val="24"/>
        </w:rPr>
        <w:t>zanikla</w:t>
      </w:r>
      <w:r w:rsidRPr="00DF5D87">
        <w:rPr>
          <w:rFonts w:ascii="Myriad Pro Light" w:eastAsia="Times New Roman" w:hAnsi="Myriad Pro Light" w:cs="Arial"/>
          <w:sz w:val="24"/>
          <w:szCs w:val="24"/>
        </w:rPr>
        <w:t xml:space="preserve"> anebo že se zcela </w:t>
      </w:r>
      <w:r w:rsidRPr="00DF5D87">
        <w:rPr>
          <w:rFonts w:ascii="Myriad Pro Light" w:eastAsia="Times New Roman" w:hAnsi="Myriad Pro Light" w:cs="Arial"/>
          <w:b/>
          <w:sz w:val="24"/>
          <w:szCs w:val="24"/>
        </w:rPr>
        <w:t>promlčela</w:t>
      </w:r>
      <w:r w:rsidRPr="00DF5D87">
        <w:rPr>
          <w:rFonts w:ascii="Myriad Pro Light" w:eastAsia="Times New Roman" w:hAnsi="Myriad Pro Light" w:cs="Arial"/>
          <w:sz w:val="24"/>
          <w:szCs w:val="24"/>
        </w:rPr>
        <w:t>.</w:t>
      </w:r>
    </w:p>
    <w:p w:rsidR="00DF5D87" w:rsidRDefault="00DF5D87" w:rsidP="00DF5D87">
      <w:pPr>
        <w:shd w:val="clear" w:color="auto" w:fill="FFFFFF"/>
        <w:spacing w:after="0" w:line="368" w:lineRule="atLeast"/>
        <w:jc w:val="both"/>
        <w:outlineLvl w:val="2"/>
        <w:rPr>
          <w:rFonts w:ascii="Myriad Pro Light" w:eastAsia="Times New Roman" w:hAnsi="Myriad Pro Light" w:cs="Arial"/>
          <w:b/>
          <w:bCs/>
          <w:sz w:val="24"/>
          <w:szCs w:val="24"/>
        </w:rPr>
      </w:pPr>
      <w:r>
        <w:rPr>
          <w:rFonts w:ascii="Myriad Pro Light" w:eastAsia="Times New Roman" w:hAnsi="Myriad Pro Light" w:cs="Arial"/>
          <w:b/>
          <w:bCs/>
          <w:sz w:val="24"/>
          <w:szCs w:val="24"/>
        </w:rPr>
        <w:t>Popření výše</w:t>
      </w:r>
    </w:p>
    <w:p w:rsidR="00DF5D87" w:rsidRPr="00DF5D87" w:rsidRDefault="00DF5D87" w:rsidP="00DF5D87">
      <w:pPr>
        <w:pStyle w:val="Odstavecseseznamem"/>
        <w:numPr>
          <w:ilvl w:val="0"/>
          <w:numId w:val="10"/>
        </w:numPr>
        <w:shd w:val="clear" w:color="auto" w:fill="FFFFFF"/>
        <w:spacing w:after="0" w:line="368" w:lineRule="atLeast"/>
        <w:jc w:val="both"/>
        <w:outlineLvl w:val="2"/>
        <w:rPr>
          <w:rFonts w:ascii="Myriad Pro Light" w:eastAsia="Times New Roman" w:hAnsi="Myriad Pro Light" w:cs="Arial"/>
          <w:b/>
          <w:bCs/>
          <w:sz w:val="24"/>
          <w:szCs w:val="24"/>
          <w:u w:val="single"/>
        </w:rPr>
      </w:pPr>
      <w:r w:rsidRPr="00DF5D87">
        <w:rPr>
          <w:rFonts w:ascii="Myriad Pro Light" w:eastAsia="Times New Roman" w:hAnsi="Myriad Pro Light" w:cs="Arial"/>
          <w:b/>
          <w:bCs/>
          <w:sz w:val="24"/>
          <w:szCs w:val="24"/>
        </w:rPr>
        <w:t xml:space="preserve"> </w:t>
      </w:r>
      <w:r w:rsidR="00DF695E" w:rsidRPr="00DF5D87">
        <w:rPr>
          <w:rFonts w:ascii="Myriad Pro Light" w:eastAsia="Times New Roman" w:hAnsi="Myriad Pro Light" w:cs="Arial"/>
          <w:sz w:val="24"/>
          <w:szCs w:val="24"/>
        </w:rPr>
        <w:t xml:space="preserve">je-li namítáno, že dlužníkův závazek </w:t>
      </w:r>
      <w:r w:rsidR="00DF695E" w:rsidRPr="00DF5D87">
        <w:rPr>
          <w:rFonts w:ascii="Myriad Pro Light" w:eastAsia="Times New Roman" w:hAnsi="Myriad Pro Light" w:cs="Arial"/>
          <w:b/>
          <w:sz w:val="24"/>
          <w:szCs w:val="24"/>
        </w:rPr>
        <w:t>je nižší než přihlášená částka</w:t>
      </w:r>
      <w:r w:rsidR="00DF695E" w:rsidRPr="00DF5D87">
        <w:rPr>
          <w:rFonts w:ascii="Myriad Pro Light" w:eastAsia="Times New Roman" w:hAnsi="Myriad Pro Light" w:cs="Arial"/>
          <w:sz w:val="24"/>
          <w:szCs w:val="24"/>
        </w:rPr>
        <w:t xml:space="preserve">. Ten, kdo popírá výši pohledávky, musí současně </w:t>
      </w:r>
      <w:r w:rsidR="00DF695E" w:rsidRPr="00DF5D87">
        <w:rPr>
          <w:rFonts w:ascii="Myriad Pro Light" w:eastAsia="Times New Roman" w:hAnsi="Myriad Pro Light" w:cs="Arial"/>
          <w:b/>
          <w:sz w:val="24"/>
          <w:szCs w:val="24"/>
        </w:rPr>
        <w:t>uvést, jaká je ve skutečnosti výše</w:t>
      </w:r>
      <w:r w:rsidR="00DF695E" w:rsidRPr="00DF5D87">
        <w:rPr>
          <w:rFonts w:ascii="Myriad Pro Light" w:eastAsia="Times New Roman" w:hAnsi="Myriad Pro Light" w:cs="Arial"/>
          <w:sz w:val="24"/>
          <w:szCs w:val="24"/>
        </w:rPr>
        <w:t xml:space="preserve"> pohledávky.</w:t>
      </w:r>
    </w:p>
    <w:p w:rsidR="00DF5D87" w:rsidRDefault="00DF5D87" w:rsidP="00DF5D87">
      <w:pPr>
        <w:shd w:val="clear" w:color="auto" w:fill="FFFFFF"/>
        <w:spacing w:after="0" w:line="368" w:lineRule="atLeast"/>
        <w:jc w:val="both"/>
        <w:outlineLvl w:val="2"/>
        <w:rPr>
          <w:rFonts w:ascii="Myriad Pro Light" w:eastAsia="Times New Roman" w:hAnsi="Myriad Pro Light" w:cs="Arial"/>
          <w:b/>
          <w:bCs/>
          <w:sz w:val="24"/>
          <w:szCs w:val="24"/>
        </w:rPr>
      </w:pPr>
      <w:r>
        <w:rPr>
          <w:rFonts w:ascii="Myriad Pro Light" w:eastAsia="Times New Roman" w:hAnsi="Myriad Pro Light" w:cs="Arial"/>
          <w:b/>
          <w:bCs/>
          <w:sz w:val="24"/>
          <w:szCs w:val="24"/>
        </w:rPr>
        <w:t>Popření pořadí</w:t>
      </w:r>
    </w:p>
    <w:p w:rsidR="00DF695E" w:rsidRPr="00DF5D87" w:rsidRDefault="00DF695E" w:rsidP="00DF5D87">
      <w:pPr>
        <w:pStyle w:val="Odstavecseseznamem"/>
        <w:numPr>
          <w:ilvl w:val="0"/>
          <w:numId w:val="10"/>
        </w:numPr>
        <w:shd w:val="clear" w:color="auto" w:fill="FFFFFF"/>
        <w:spacing w:after="0" w:line="368" w:lineRule="atLeast"/>
        <w:jc w:val="both"/>
        <w:outlineLvl w:val="2"/>
        <w:rPr>
          <w:rFonts w:ascii="Myriad Pro Light" w:eastAsia="Times New Roman" w:hAnsi="Myriad Pro Light" w:cs="Arial"/>
          <w:b/>
          <w:bCs/>
          <w:sz w:val="24"/>
          <w:szCs w:val="24"/>
          <w:u w:val="single"/>
        </w:rPr>
      </w:pPr>
      <w:r w:rsidRPr="00DF5D87">
        <w:rPr>
          <w:rFonts w:ascii="Myriad Pro Light" w:eastAsia="Times New Roman" w:hAnsi="Myriad Pro Light" w:cs="Arial"/>
          <w:sz w:val="24"/>
          <w:szCs w:val="24"/>
        </w:rPr>
        <w:t xml:space="preserve">je-li namítáno, že pohledávka </w:t>
      </w:r>
      <w:r w:rsidRPr="00DF5D87">
        <w:rPr>
          <w:rFonts w:ascii="Myriad Pro Light" w:eastAsia="Times New Roman" w:hAnsi="Myriad Pro Light" w:cs="Arial"/>
          <w:b/>
          <w:sz w:val="24"/>
          <w:szCs w:val="24"/>
        </w:rPr>
        <w:t>má méně výhodné pořadí</w:t>
      </w:r>
      <w:r w:rsidRPr="00DF5D87">
        <w:rPr>
          <w:rFonts w:ascii="Myriad Pro Light" w:eastAsia="Times New Roman" w:hAnsi="Myriad Pro Light" w:cs="Arial"/>
          <w:sz w:val="24"/>
          <w:szCs w:val="24"/>
        </w:rPr>
        <w:t xml:space="preserve">, než je pořadí uvedené v přihlášce pohledávky, nebo </w:t>
      </w:r>
      <w:r w:rsidRPr="00DF5D87">
        <w:rPr>
          <w:rFonts w:ascii="Myriad Pro Light" w:eastAsia="Times New Roman" w:hAnsi="Myriad Pro Light" w:cs="Arial"/>
          <w:b/>
          <w:sz w:val="24"/>
          <w:szCs w:val="24"/>
        </w:rPr>
        <w:t>je-li popíráno právo na uspokojení pohledávky ze zajištění</w:t>
      </w:r>
      <w:r w:rsidRPr="00DF5D87">
        <w:rPr>
          <w:rFonts w:ascii="Myriad Pro Light" w:eastAsia="Times New Roman" w:hAnsi="Myriad Pro Light" w:cs="Arial"/>
          <w:sz w:val="24"/>
          <w:szCs w:val="24"/>
        </w:rPr>
        <w:t>. Ten, kdo popírá pořadí pohledávky, musí současně uvést, v jakém pořadí má být pohledávka uspokojena.</w:t>
      </w:r>
    </w:p>
    <w:p w:rsidR="00FE5DFF" w:rsidRPr="00DF695E" w:rsidRDefault="00FE5DFF" w:rsidP="00FE5DFF">
      <w:pPr>
        <w:pStyle w:val="l5"/>
        <w:shd w:val="clear" w:color="auto" w:fill="FFFFFF"/>
        <w:spacing w:before="0" w:beforeAutospacing="0" w:after="0" w:afterAutospacing="0"/>
        <w:jc w:val="both"/>
        <w:rPr>
          <w:rFonts w:ascii="Myriad Pro Light" w:hAnsi="Myriad Pro Light" w:cs="Arial"/>
          <w:color w:val="000000"/>
        </w:rPr>
      </w:pPr>
    </w:p>
    <w:p w:rsidR="00E02EAE" w:rsidRPr="00DF695E" w:rsidRDefault="00DF5D87" w:rsidP="00FE5DFF">
      <w:pPr>
        <w:shd w:val="clear" w:color="auto" w:fill="FFFFFF"/>
        <w:spacing w:after="0" w:line="240" w:lineRule="auto"/>
        <w:jc w:val="both"/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</w:pPr>
      <w:r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>Pokud</w:t>
      </w:r>
      <w:r w:rsidR="007236C1" w:rsidRPr="00DF695E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 xml:space="preserve"> dlužn</w:t>
      </w:r>
      <w:r w:rsidR="00E02EAE" w:rsidRPr="00DF695E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 xml:space="preserve">ík </w:t>
      </w:r>
      <w:r w:rsidR="007236C1" w:rsidRPr="00DF695E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>pohledávku věřitele popře</w:t>
      </w:r>
      <w:r w:rsidR="0077029C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>,</w:t>
      </w:r>
      <w:r w:rsidR="00E02EAE" w:rsidRPr="00DF695E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 xml:space="preserve"> tak</w:t>
      </w:r>
      <w:r w:rsidR="003058EB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 xml:space="preserve"> v případě</w:t>
      </w:r>
      <w:r w:rsidR="00E02EAE" w:rsidRPr="00DF695E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>:</w:t>
      </w:r>
    </w:p>
    <w:p w:rsidR="003058EB" w:rsidRPr="003058EB" w:rsidRDefault="003058EB" w:rsidP="003058EB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</w:pPr>
      <w:r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 xml:space="preserve">vykonatelné pohledávky </w:t>
      </w:r>
      <w:r w:rsidRPr="003058EB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>(tj. jde o pohledávku, která už dříve byla věřiteli přiznána v soudním nebo jiném řízení);</w:t>
      </w:r>
    </w:p>
    <w:p w:rsidR="007236C1" w:rsidRDefault="003058EB" w:rsidP="003058E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</w:pPr>
      <w:r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>j</w:t>
      </w:r>
      <w:r w:rsidR="00E02EAE" w:rsidRPr="003058EB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>e</w:t>
      </w:r>
      <w:r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 xml:space="preserve"> dlužník</w:t>
      </w:r>
      <w:r w:rsidR="00E02EAE" w:rsidRPr="003058EB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7236C1" w:rsidRPr="003058EB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>povinen ve lhůtě 30 dnů</w:t>
      </w:r>
      <w:r w:rsidR="007236C1" w:rsidRPr="003058EB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 xml:space="preserve"> od právní moci rozhodnutí o schválení zprávy o přezkumu</w:t>
      </w:r>
      <w:r w:rsidR="00DF695E" w:rsidRPr="003058EB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 xml:space="preserve"> </w:t>
      </w:r>
      <w:r w:rsidR="007236C1" w:rsidRPr="003058EB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>podat u insolvenčního soudu žalobu, kterou své popření uplatní proti věřiteli</w:t>
      </w:r>
      <w:r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>;</w:t>
      </w:r>
    </w:p>
    <w:p w:rsidR="003058EB" w:rsidRPr="003058EB" w:rsidRDefault="003058EB" w:rsidP="003058E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</w:pPr>
      <w:r w:rsidRPr="003058EB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 xml:space="preserve">dlužník je v řízení oprávněn na svou obranu uvádět jen skutečnosti, které neuplatnil v předchozím soudním řízení, nelze však namítat jiné právní posouzení věci (rozpor s dobrými mravy, nepřiměřená výše sjednané odměny, atd.); </w:t>
      </w:r>
    </w:p>
    <w:p w:rsidR="003058EB" w:rsidRPr="00DF695E" w:rsidRDefault="003058EB" w:rsidP="003058EB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hanging="720"/>
        <w:jc w:val="both"/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3058EB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>nevykonatelné pohledávky</w:t>
      </w:r>
      <w:r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DF695E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>(pohledávka dosud věřiteli nebyla v žádném řízení přiznána);</w:t>
      </w:r>
    </w:p>
    <w:p w:rsidR="00DF695E" w:rsidRPr="003058EB" w:rsidRDefault="00E02EAE" w:rsidP="00DF695E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Myriad Pro Light" w:hAnsi="Myriad Pro Light"/>
          <w:sz w:val="24"/>
          <w:szCs w:val="24"/>
        </w:rPr>
      </w:pPr>
      <w:r w:rsidRPr="003058EB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 xml:space="preserve">proti </w:t>
      </w:r>
      <w:r w:rsidR="003058EB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>dlužníku</w:t>
      </w:r>
      <w:r w:rsidRPr="003058EB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 xml:space="preserve"> bude ze strany věřitele podána žaloba</w:t>
      </w:r>
      <w:r w:rsidR="003058EB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 xml:space="preserve"> a dlužník bude účastníkem soudního řízení;</w:t>
      </w:r>
      <w:r w:rsidRPr="003058EB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DF695E" w:rsidRPr="00694F40" w:rsidRDefault="00DF695E" w:rsidP="00DF695E">
      <w:pPr>
        <w:shd w:val="clear" w:color="auto" w:fill="FFFFFF"/>
        <w:spacing w:after="0" w:line="240" w:lineRule="auto"/>
        <w:jc w:val="both"/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</w:pPr>
    </w:p>
    <w:p w:rsidR="0074106A" w:rsidRDefault="00DF695E" w:rsidP="00DF695E">
      <w:pPr>
        <w:shd w:val="clear" w:color="auto" w:fill="FFFFFF"/>
        <w:spacing w:after="0" w:line="240" w:lineRule="auto"/>
        <w:jc w:val="both"/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</w:pPr>
      <w:r w:rsidRPr="00694F40">
        <w:rPr>
          <w:rFonts w:ascii="Myriad Pro Light" w:hAnsi="Myriad Pro Light" w:cs="Arial"/>
          <w:color w:val="000000"/>
          <w:sz w:val="24"/>
          <w:szCs w:val="24"/>
          <w:shd w:val="clear" w:color="auto" w:fill="FFFFFF"/>
        </w:rPr>
        <w:t>Dlužník je povinen v řízení prokázat, že pohledávka věřitele je nedůvodná. V případě, že dlužník v řízení nebude procesně úspěšný,</w:t>
      </w:r>
      <w:r w:rsidRPr="00DF695E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 xml:space="preserve"> je povinen věřiteli uhradit náklady řízení. </w:t>
      </w:r>
    </w:p>
    <w:p w:rsidR="0074106A" w:rsidRDefault="0074106A" w:rsidP="00DF695E">
      <w:pPr>
        <w:shd w:val="clear" w:color="auto" w:fill="FFFFFF"/>
        <w:spacing w:after="0" w:line="240" w:lineRule="auto"/>
        <w:jc w:val="both"/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</w:pPr>
    </w:p>
    <w:p w:rsidR="00DF695E" w:rsidRPr="00DF695E" w:rsidRDefault="00DF695E" w:rsidP="00DF695E">
      <w:pPr>
        <w:shd w:val="clear" w:color="auto" w:fill="FFFFFF"/>
        <w:spacing w:after="0" w:line="240" w:lineRule="auto"/>
        <w:jc w:val="both"/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</w:pPr>
      <w:r w:rsidRPr="00DF695E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>S ohledem na tuto skutečnost insolvenční správce poučuje dlužníka, nechť své popěrné právo využívá jen v odůvodněných případech</w:t>
      </w:r>
      <w:r w:rsidR="00694F40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 xml:space="preserve"> a jen v případech, kdy je schopen své stanovisk</w:t>
      </w:r>
      <w:r w:rsidR="005D3638">
        <w:rPr>
          <w:rFonts w:ascii="Myriad Pro Light" w:hAnsi="Myriad Pro Light" w:cs="Arial"/>
          <w:b/>
          <w:color w:val="000000"/>
          <w:sz w:val="24"/>
          <w:szCs w:val="24"/>
          <w:shd w:val="clear" w:color="auto" w:fill="FFFFFF"/>
        </w:rPr>
        <w:t>o prokázat.</w:t>
      </w:r>
    </w:p>
    <w:sectPr w:rsidR="00DF695E" w:rsidRPr="00DF695E" w:rsidSect="00ED0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063C8"/>
    <w:multiLevelType w:val="hybridMultilevel"/>
    <w:tmpl w:val="B186026C"/>
    <w:lvl w:ilvl="0" w:tplc="7F5C905C">
      <w:start w:val="702"/>
      <w:numFmt w:val="bullet"/>
      <w:lvlText w:val="-"/>
      <w:lvlJc w:val="left"/>
      <w:pPr>
        <w:ind w:left="720" w:hanging="360"/>
      </w:pPr>
      <w:rPr>
        <w:rFonts w:ascii="Myriad Pro Light" w:eastAsia="Times New Roman" w:hAnsi="Myriad Pro Light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11468"/>
    <w:multiLevelType w:val="hybridMultilevel"/>
    <w:tmpl w:val="C9647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76935"/>
    <w:multiLevelType w:val="hybridMultilevel"/>
    <w:tmpl w:val="079E8D5E"/>
    <w:lvl w:ilvl="0" w:tplc="EA9AC2FA">
      <w:start w:val="1"/>
      <w:numFmt w:val="lowerLetter"/>
      <w:lvlText w:val="%1)"/>
      <w:lvlJc w:val="left"/>
      <w:pPr>
        <w:ind w:left="720" w:hanging="360"/>
      </w:pPr>
      <w:rPr>
        <w:rFonts w:ascii="Myriad Pro Light" w:eastAsiaTheme="minorHAnsi" w:hAnsi="Myriad Pro Light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34EE2"/>
    <w:multiLevelType w:val="hybridMultilevel"/>
    <w:tmpl w:val="F2204286"/>
    <w:lvl w:ilvl="0" w:tplc="DF44C138">
      <w:start w:val="702"/>
      <w:numFmt w:val="bullet"/>
      <w:lvlText w:val="-"/>
      <w:lvlJc w:val="left"/>
      <w:pPr>
        <w:ind w:left="1069" w:hanging="360"/>
      </w:pPr>
      <w:rPr>
        <w:rFonts w:ascii="Myriad Pro Light" w:eastAsia="Times New Roman" w:hAnsi="Myriad Pro Light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95B7EF7"/>
    <w:multiLevelType w:val="hybridMultilevel"/>
    <w:tmpl w:val="D5BE7362"/>
    <w:lvl w:ilvl="0" w:tplc="8F646BBE">
      <w:start w:val="1"/>
      <w:numFmt w:val="bullet"/>
      <w:lvlText w:val="-"/>
      <w:lvlJc w:val="left"/>
      <w:pPr>
        <w:ind w:left="1080" w:hanging="360"/>
      </w:pPr>
      <w:rPr>
        <w:rFonts w:ascii="Myriad Pro Light" w:eastAsiaTheme="minorHAnsi" w:hAnsi="Myriad Pro Light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635D5F"/>
    <w:multiLevelType w:val="hybridMultilevel"/>
    <w:tmpl w:val="3C109412"/>
    <w:lvl w:ilvl="0" w:tplc="A912BA5E">
      <w:start w:val="702"/>
      <w:numFmt w:val="bullet"/>
      <w:lvlText w:val="-"/>
      <w:lvlJc w:val="left"/>
      <w:pPr>
        <w:ind w:left="720" w:hanging="360"/>
      </w:pPr>
      <w:rPr>
        <w:rFonts w:ascii="Myriad Pro Light" w:eastAsia="Times New Roman" w:hAnsi="Myriad Pro Light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E3AD5"/>
    <w:multiLevelType w:val="hybridMultilevel"/>
    <w:tmpl w:val="64802238"/>
    <w:lvl w:ilvl="0" w:tplc="0D8ABF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8086C"/>
    <w:multiLevelType w:val="hybridMultilevel"/>
    <w:tmpl w:val="9A08CA20"/>
    <w:lvl w:ilvl="0" w:tplc="75407E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200AE8"/>
    <w:multiLevelType w:val="hybridMultilevel"/>
    <w:tmpl w:val="0B8695C0"/>
    <w:lvl w:ilvl="0" w:tplc="51EEA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80764"/>
    <w:multiLevelType w:val="hybridMultilevel"/>
    <w:tmpl w:val="F67EE18E"/>
    <w:lvl w:ilvl="0" w:tplc="74C41EF4">
      <w:start w:val="702"/>
      <w:numFmt w:val="bullet"/>
      <w:lvlText w:val="-"/>
      <w:lvlJc w:val="left"/>
      <w:pPr>
        <w:ind w:left="720" w:hanging="360"/>
      </w:pPr>
      <w:rPr>
        <w:rFonts w:ascii="Myriad Pro Light" w:eastAsia="Times New Roman" w:hAnsi="Myriad Pro Light" w:cs="Aria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E1323D"/>
    <w:multiLevelType w:val="hybridMultilevel"/>
    <w:tmpl w:val="C1021A36"/>
    <w:lvl w:ilvl="0" w:tplc="41164C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FF"/>
    <w:rsid w:val="001D389D"/>
    <w:rsid w:val="001D5540"/>
    <w:rsid w:val="003058EB"/>
    <w:rsid w:val="005B49EB"/>
    <w:rsid w:val="005D3638"/>
    <w:rsid w:val="006314D0"/>
    <w:rsid w:val="00694F40"/>
    <w:rsid w:val="007236C1"/>
    <w:rsid w:val="0074106A"/>
    <w:rsid w:val="0077029C"/>
    <w:rsid w:val="0093561D"/>
    <w:rsid w:val="00C822A2"/>
    <w:rsid w:val="00CC0944"/>
    <w:rsid w:val="00D569DB"/>
    <w:rsid w:val="00DF5D87"/>
    <w:rsid w:val="00DF695E"/>
    <w:rsid w:val="00E02EAE"/>
    <w:rsid w:val="00ED051D"/>
    <w:rsid w:val="00F17407"/>
    <w:rsid w:val="00FE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E5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E5D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5">
    <w:name w:val="l5"/>
    <w:basedOn w:val="Normln"/>
    <w:rsid w:val="00F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6">
    <w:name w:val="l6"/>
    <w:basedOn w:val="Normln"/>
    <w:rsid w:val="00F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FE5DFF"/>
    <w:rPr>
      <w:i/>
      <w:iCs/>
    </w:rPr>
  </w:style>
  <w:style w:type="paragraph" w:styleId="Odstavecseseznamem">
    <w:name w:val="List Paragraph"/>
    <w:basedOn w:val="Normln"/>
    <w:uiPriority w:val="34"/>
    <w:qFormat/>
    <w:rsid w:val="00FE5DFF"/>
    <w:pPr>
      <w:ind w:left="720"/>
      <w:contextualSpacing/>
    </w:pPr>
  </w:style>
  <w:style w:type="paragraph" w:customStyle="1" w:styleId="l4">
    <w:name w:val="l4"/>
    <w:basedOn w:val="Normln"/>
    <w:rsid w:val="00F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FE5D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FE5D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l5">
    <w:name w:val="l5"/>
    <w:basedOn w:val="Normln"/>
    <w:rsid w:val="00F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6">
    <w:name w:val="l6"/>
    <w:basedOn w:val="Normln"/>
    <w:rsid w:val="00F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FE5DFF"/>
    <w:rPr>
      <w:i/>
      <w:iCs/>
    </w:rPr>
  </w:style>
  <w:style w:type="paragraph" w:styleId="Odstavecseseznamem">
    <w:name w:val="List Paragraph"/>
    <w:basedOn w:val="Normln"/>
    <w:uiPriority w:val="34"/>
    <w:qFormat/>
    <w:rsid w:val="00FE5DFF"/>
    <w:pPr>
      <w:ind w:left="720"/>
      <w:contextualSpacing/>
    </w:pPr>
  </w:style>
  <w:style w:type="paragraph" w:customStyle="1" w:styleId="l4">
    <w:name w:val="l4"/>
    <w:basedOn w:val="Normln"/>
    <w:rsid w:val="00FE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9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AK</cp:lastModifiedBy>
  <cp:revision>3</cp:revision>
  <cp:lastPrinted>2019-08-07T08:54:00Z</cp:lastPrinted>
  <dcterms:created xsi:type="dcterms:W3CDTF">2019-09-26T08:14:00Z</dcterms:created>
  <dcterms:modified xsi:type="dcterms:W3CDTF">2019-09-26T12:27:00Z</dcterms:modified>
</cp:coreProperties>
</file>